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D9" w:rsidRDefault="00E635E9" w:rsidP="00D90CD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учреждение средняя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общеобразовательная школа 15 г. Канска</w:t>
      </w:r>
    </w:p>
    <w:p w:rsidR="00B935C0" w:rsidRPr="00D90CD9" w:rsidRDefault="00D90CD9" w:rsidP="00D90CD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(МБОУ СОШ № 15 г. Канска)</w:t>
      </w:r>
    </w:p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B935C0" w:rsidRPr="00D90CD9"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5C0" w:rsidRPr="00D90CD9" w:rsidRDefault="00E635E9" w:rsidP="00D90CD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</w:tc>
      </w:tr>
      <w:tr w:rsidR="00B935C0" w:rsidRPr="00F7002C">
        <w:trPr>
          <w:trHeight w:val="6"/>
        </w:trPr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5C0" w:rsidRPr="00D90CD9" w:rsidRDefault="00E635E9" w:rsidP="00C12B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0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D90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СОШ № 15 г. Канска</w:t>
            </w:r>
            <w:r w:rsidRPr="00D90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12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02.05.202</w:t>
            </w:r>
            <w:r w:rsidR="00C12B23" w:rsidRPr="00C12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12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bookmarkStart w:id="0" w:name="_GoBack"/>
            <w:bookmarkEnd w:id="0"/>
          </w:p>
        </w:tc>
      </w:tr>
    </w:tbl>
    <w:p w:rsidR="00B935C0" w:rsidRPr="00D90CD9" w:rsidRDefault="00B935C0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935C0" w:rsidRPr="00D90CD9" w:rsidRDefault="00E635E9" w:rsidP="00D90CD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 политика</w:t>
      </w:r>
      <w:r w:rsidRPr="00D90CD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0CD9" w:rsidRPr="00D90C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СОШ № 15 г. Канска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Настоящая антикоррупционная политика 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бюджетно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общеобразовательно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общеобразовательной школы 15 г. Канска</w:t>
      </w:r>
    </w:p>
    <w:p w:rsidR="00B935C0" w:rsidRPr="00D90CD9" w:rsidRDefault="00D90CD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25.12.2008 №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Политика 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бюджетно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общеобразовательно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общеобразовательной школы 15 г. Канска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представляет собой комплекс закрепленных взаимосвязанных принципов, процедур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профилактику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бюджетно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общеобразовательно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общеобразовательной школы 15 г. Канска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подобных деяний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или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когда взятка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службе;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когда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служебные полномочия такого лица либо 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если оно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лиц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их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выявлению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минимизации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состоящими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лицо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лица, состоящие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B935C0" w:rsidRPr="00D90CD9" w:rsidRDefault="00E635E9" w:rsidP="00D90C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:rsidR="00B935C0" w:rsidRPr="00D90CD9" w:rsidRDefault="00E635E9" w:rsidP="00D90C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работников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B935C0" w:rsidRPr="00D90CD9" w:rsidRDefault="00E635E9" w:rsidP="00D90C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B935C0" w:rsidRPr="00D90CD9" w:rsidRDefault="00E635E9" w:rsidP="00D90CD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B935C0" w:rsidRPr="00D90CD9" w:rsidRDefault="00E635E9" w:rsidP="00D90CD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у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B935C0" w:rsidRPr="00D90CD9" w:rsidRDefault="00E635E9" w:rsidP="00D90CD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B935C0" w:rsidRPr="00D90CD9" w:rsidRDefault="00E635E9" w:rsidP="00D90CD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Политики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мер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35C0" w:rsidRPr="00D90CD9" w:rsidRDefault="00E635E9" w:rsidP="00D90CD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2) эффективность мероприятий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ее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внешней среды,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сведениям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Подраздел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наполняется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следующей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35C0" w:rsidRPr="00D90CD9" w:rsidRDefault="00E635E9" w:rsidP="00D90CD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 актами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B935C0" w:rsidRPr="00D90CD9" w:rsidRDefault="00E635E9" w:rsidP="00D90CD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B935C0" w:rsidRPr="00D90CD9" w:rsidRDefault="00E635E9" w:rsidP="00D90CD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или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Руководитель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B935C0" w:rsidRPr="00D90CD9" w:rsidRDefault="00E635E9" w:rsidP="00D90CD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ее;</w:t>
      </w:r>
    </w:p>
    <w:p w:rsidR="00B935C0" w:rsidRPr="00D90CD9" w:rsidRDefault="00E635E9" w:rsidP="00D90CD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совершения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участия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B935C0" w:rsidRPr="00D90CD9" w:rsidRDefault="00E635E9" w:rsidP="00D90CD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исполнением им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B935C0" w:rsidRPr="00D90CD9" w:rsidRDefault="00E635E9" w:rsidP="00D90CD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B935C0" w:rsidRPr="00D90CD9" w:rsidRDefault="00E635E9" w:rsidP="00D90CD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B935C0" w:rsidRPr="00D90CD9" w:rsidRDefault="00E635E9" w:rsidP="00D90CD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 из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 лицо или несколько лиц, ответственных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4.3. Основные обязанности должностного лица (должностных лиц), ответственного (ответственных)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Политики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35C0" w:rsidRPr="00D90CD9" w:rsidRDefault="00E635E9" w:rsidP="00D90CD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B935C0" w:rsidRPr="00D90CD9" w:rsidRDefault="00E635E9" w:rsidP="00D90CD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B935C0" w:rsidRPr="00D90CD9" w:rsidRDefault="00E635E9" w:rsidP="00D90CD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B935C0" w:rsidRPr="00D90CD9" w:rsidRDefault="00E635E9" w:rsidP="00D90CD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контроля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Лица, виновные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 деятельности Организации, при реализации которых наиболее высока вероятность совершения работниками коррупционных правонарушений как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B935C0" w:rsidRPr="00D90CD9" w:rsidRDefault="00D90CD9" w:rsidP="00D90CD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подготовительного</w:t>
      </w:r>
      <w:r w:rsidR="00E635E9" w:rsidRPr="00D90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35C0" w:rsidRPr="00D90CD9" w:rsidRDefault="00E635E9" w:rsidP="00D90CD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</w:rPr>
        <w:t>описания процессов;</w:t>
      </w:r>
    </w:p>
    <w:p w:rsidR="00B935C0" w:rsidRPr="00D90CD9" w:rsidRDefault="00E635E9" w:rsidP="00D90CD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B935C0" w:rsidRPr="00D90CD9" w:rsidRDefault="00D90CD9" w:rsidP="00D90CD9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Анализа</w:t>
      </w:r>
      <w:proofErr w:type="spellEnd"/>
      <w:r w:rsidR="00E635E9"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35E9" w:rsidRPr="00D90CD9">
        <w:rPr>
          <w:rFonts w:ascii="Times New Roman" w:hAnsi="Times New Roman" w:cs="Times New Roman"/>
          <w:color w:val="000000"/>
          <w:sz w:val="24"/>
          <w:szCs w:val="24"/>
        </w:rPr>
        <w:t>коррупционных</w:t>
      </w:r>
      <w:proofErr w:type="spellEnd"/>
      <w:r w:rsidR="00E635E9"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35E9" w:rsidRPr="00D90CD9">
        <w:rPr>
          <w:rFonts w:ascii="Times New Roman" w:hAnsi="Times New Roman" w:cs="Times New Roman"/>
          <w:color w:val="000000"/>
          <w:sz w:val="24"/>
          <w:szCs w:val="24"/>
        </w:rPr>
        <w:t>рисков</w:t>
      </w:r>
      <w:proofErr w:type="spellEnd"/>
      <w:r w:rsidR="00E635E9" w:rsidRPr="00D90C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6.3.1.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6.3.2.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оценивают их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критериями при определении коррупционных рисков являются следующие:</w:t>
      </w:r>
    </w:p>
    <w:p w:rsidR="00B935C0" w:rsidRPr="00D90CD9" w:rsidRDefault="00E635E9" w:rsidP="00D90CD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Организацией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> и (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отдельными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работниками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35C0" w:rsidRPr="00D90CD9" w:rsidRDefault="00E635E9" w:rsidP="00D90CD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B935C0" w:rsidRPr="00D90CD9" w:rsidRDefault="00E635E9" w:rsidP="00D90CD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B935C0" w:rsidRPr="00D90CD9" w:rsidRDefault="00E635E9" w:rsidP="00D90CD9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сведений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</w:p>
    <w:p w:rsidR="00B935C0" w:rsidRPr="00D90CD9" w:rsidRDefault="00E635E9" w:rsidP="00D90CD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закупка товаров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B935C0" w:rsidRPr="00D90CD9" w:rsidRDefault="00E635E9" w:rsidP="00D90CD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сдача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B935C0" w:rsidRPr="00D90CD9" w:rsidRDefault="00E635E9" w:rsidP="00D90CD9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т. д.).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принятии решений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6.3.3.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</w:p>
    <w:p w:rsidR="00B935C0" w:rsidRPr="00D90CD9" w:rsidRDefault="00E635E9" w:rsidP="00D90CD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у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физическому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> и (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юридическому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лицу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Организацией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35C0" w:rsidRPr="00D90CD9" w:rsidRDefault="00E635E9" w:rsidP="00D90CD9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B935C0" w:rsidRPr="00D90CD9" w:rsidRDefault="00E635E9" w:rsidP="00D90CD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данного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</w:p>
    <w:p w:rsidR="00B935C0" w:rsidRPr="00D90CD9" w:rsidRDefault="00E635E9" w:rsidP="00D90CD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B935C0" w:rsidRPr="00D90CD9" w:rsidRDefault="00E635E9" w:rsidP="00D90CD9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6.3.4.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а) краткое описание распределяемой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ссылок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кадровые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6.6.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90CD9" w:rsidRDefault="00D90CD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0CD9" w:rsidRDefault="00D90CD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Деятельность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B935C0" w:rsidRPr="00D90CD9" w:rsidRDefault="00E635E9" w:rsidP="00D90CD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B935C0" w:rsidRPr="00D90CD9" w:rsidRDefault="00E635E9" w:rsidP="00D90CD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B935C0" w:rsidRPr="00D90CD9" w:rsidRDefault="00E635E9" w:rsidP="00D90CD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оценки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B935C0" w:rsidRPr="00D90CD9" w:rsidRDefault="00E635E9" w:rsidP="00D90CD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B935C0" w:rsidRPr="00D90CD9" w:rsidRDefault="00E635E9" w:rsidP="00D90CD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Организации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работника при урегулировании конфликта интересов;</w:t>
      </w:r>
    </w:p>
    <w:p w:rsidR="00B935C0" w:rsidRPr="00D90CD9" w:rsidRDefault="00E635E9" w:rsidP="00D90CD9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 работника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преследования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смыслу пункта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33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 МБОУ Центр образования №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B935C0" w:rsidRPr="00D90CD9" w:rsidRDefault="00E635E9" w:rsidP="00D90CD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целей ее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B935C0" w:rsidRPr="00D90CD9" w:rsidRDefault="00E635E9" w:rsidP="00D90CD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B935C0" w:rsidRPr="00D90CD9" w:rsidRDefault="00E635E9" w:rsidP="00D90CD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избегать ситуаций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B935C0" w:rsidRPr="00D90CD9" w:rsidRDefault="00E635E9" w:rsidP="00D90CD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B935C0" w:rsidRPr="00D90CD9" w:rsidRDefault="00E635E9" w:rsidP="00D90CD9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7.8. Работник при выполнении своих должностных обязанностей не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одной из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кандидатур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из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7.11. Раскрытие конфликта интересов осуществляется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 обязанностей, которая приводит или может привести к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поступления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 форме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12.01.1996 №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7-ФЗ, 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B935C0" w:rsidRPr="00D90CD9" w:rsidRDefault="00E635E9" w:rsidP="00D90CD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ограничение доступа работника к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B935C0" w:rsidRPr="00D90CD9" w:rsidRDefault="00E635E9" w:rsidP="00D90CD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B935C0" w:rsidRPr="00D90CD9" w:rsidRDefault="00E635E9" w:rsidP="00D90CD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пересмотр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B935C0" w:rsidRPr="00D90CD9" w:rsidRDefault="00E635E9" w:rsidP="00D90CD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B935C0" w:rsidRPr="00D90CD9" w:rsidRDefault="00E635E9" w:rsidP="00D90CD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B935C0" w:rsidRPr="00D90CD9" w:rsidRDefault="00E635E9" w:rsidP="00D90CD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B935C0" w:rsidRPr="00D90CD9" w:rsidRDefault="00E635E9" w:rsidP="00D90CD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 решения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 лица,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B935C0" w:rsidRPr="00D90CD9" w:rsidRDefault="00E635E9" w:rsidP="00D90CD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B935C0" w:rsidRPr="00D90CD9" w:rsidRDefault="00E635E9" w:rsidP="00D90CD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B935C0" w:rsidRPr="00D90CD9" w:rsidRDefault="00E635E9" w:rsidP="00D90CD9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Организации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Организация воздерживается от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каких-либо санкций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ставшей им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известной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B935C0" w:rsidRPr="00D90CD9" w:rsidRDefault="00E635E9" w:rsidP="00D90CD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Следственный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комитет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РФ;</w:t>
      </w:r>
    </w:p>
    <w:p w:rsidR="00B935C0" w:rsidRPr="00D90CD9" w:rsidRDefault="00E635E9" w:rsidP="00D90CD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B935C0" w:rsidRPr="00D90CD9" w:rsidRDefault="00E635E9" w:rsidP="00D90CD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если сообщение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B935C0" w:rsidRPr="00D90CD9" w:rsidRDefault="00E635E9" w:rsidP="00D90CD9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прокуратуру</w:t>
      </w:r>
      <w:proofErr w:type="spellEnd"/>
      <w:proofErr w:type="gram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CD9">
        <w:rPr>
          <w:rFonts w:ascii="Times New Roman" w:hAnsi="Times New Roman" w:cs="Times New Roman"/>
          <w:color w:val="000000"/>
          <w:sz w:val="24"/>
          <w:szCs w:val="24"/>
        </w:rPr>
        <w:t>субъекта</w:t>
      </w:r>
      <w:proofErr w:type="spellEnd"/>
      <w:r w:rsidRPr="00D90CD9">
        <w:rPr>
          <w:rFonts w:ascii="Times New Roman" w:hAnsi="Times New Roman" w:cs="Times New Roman"/>
          <w:color w:val="000000"/>
          <w:sz w:val="24"/>
          <w:szCs w:val="24"/>
        </w:rPr>
        <w:t xml:space="preserve"> РФ.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форме:</w:t>
      </w:r>
    </w:p>
    <w:p w:rsidR="00B935C0" w:rsidRPr="00D90CD9" w:rsidRDefault="00E635E9" w:rsidP="00D90CD9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B935C0" w:rsidRPr="00D90CD9" w:rsidRDefault="00E635E9" w:rsidP="00D90CD9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оказания содействия уполномоченным представителям правоохранительных органов при проведении мероприятий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</w:t>
      </w:r>
      <w:r w:rsid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ступлений, включая оперативно-ро</w:t>
      </w:r>
      <w:r w:rsidR="00D90CD9"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зыскные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Антикоррупционная программа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:rsidR="00B935C0" w:rsidRPr="00D90CD9" w:rsidRDefault="00E635E9" w:rsidP="00D90CD9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</w:rPr>
        <w:t>пояснительную записку;</w:t>
      </w:r>
    </w:p>
    <w:p w:rsidR="00B935C0" w:rsidRPr="00D90CD9" w:rsidRDefault="00E635E9" w:rsidP="00D90CD9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 программы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сроков ее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B935C0" w:rsidRPr="00D90CD9" w:rsidRDefault="00E635E9" w:rsidP="00D90CD9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основную часть с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мер по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B935C0" w:rsidRPr="00D90CD9" w:rsidRDefault="00E635E9" w:rsidP="00D90C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дополнений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 w:rsidRPr="00D90C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0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B935C0" w:rsidRPr="00D90CD9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2D" w:rsidRDefault="0019362D" w:rsidP="00D90CD9">
      <w:pPr>
        <w:spacing w:before="0" w:after="0"/>
      </w:pPr>
      <w:r>
        <w:separator/>
      </w:r>
    </w:p>
  </w:endnote>
  <w:endnote w:type="continuationSeparator" w:id="0">
    <w:p w:rsidR="0019362D" w:rsidRDefault="0019362D" w:rsidP="00D90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108506"/>
      <w:docPartObj>
        <w:docPartGallery w:val="Page Numbers (Bottom of Page)"/>
        <w:docPartUnique/>
      </w:docPartObj>
    </w:sdtPr>
    <w:sdtEndPr/>
    <w:sdtContent>
      <w:p w:rsidR="00D90CD9" w:rsidRDefault="00D90C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02C" w:rsidRPr="00F7002C">
          <w:rPr>
            <w:noProof/>
            <w:lang w:val="ru-RU"/>
          </w:rPr>
          <w:t>1</w:t>
        </w:r>
        <w:r>
          <w:fldChar w:fldCharType="end"/>
        </w:r>
      </w:p>
    </w:sdtContent>
  </w:sdt>
  <w:p w:rsidR="00D90CD9" w:rsidRDefault="00D90C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2D" w:rsidRDefault="0019362D" w:rsidP="00D90CD9">
      <w:pPr>
        <w:spacing w:before="0" w:after="0"/>
      </w:pPr>
      <w:r>
        <w:separator/>
      </w:r>
    </w:p>
  </w:footnote>
  <w:footnote w:type="continuationSeparator" w:id="0">
    <w:p w:rsidR="0019362D" w:rsidRDefault="0019362D" w:rsidP="00D90C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30D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F58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141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91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2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E4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D2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65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C7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A2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CB2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40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B24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470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B76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E73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0"/>
  </w:num>
  <w:num w:numId="5">
    <w:abstractNumId w:val="7"/>
  </w:num>
  <w:num w:numId="6">
    <w:abstractNumId w:val="13"/>
  </w:num>
  <w:num w:numId="7">
    <w:abstractNumId w:val="4"/>
  </w:num>
  <w:num w:numId="8">
    <w:abstractNumId w:val="1"/>
  </w:num>
  <w:num w:numId="9">
    <w:abstractNumId w:val="12"/>
  </w:num>
  <w:num w:numId="10">
    <w:abstractNumId w:val="14"/>
  </w:num>
  <w:num w:numId="11">
    <w:abstractNumId w:val="2"/>
  </w:num>
  <w:num w:numId="12">
    <w:abstractNumId w:val="5"/>
  </w:num>
  <w:num w:numId="13">
    <w:abstractNumId w:val="3"/>
  </w:num>
  <w:num w:numId="14">
    <w:abstractNumId w:val="16"/>
  </w:num>
  <w:num w:numId="15">
    <w:abstractNumId w:val="6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362D"/>
    <w:rsid w:val="002D33B1"/>
    <w:rsid w:val="002D3591"/>
    <w:rsid w:val="003514A0"/>
    <w:rsid w:val="004F7E17"/>
    <w:rsid w:val="005A05CE"/>
    <w:rsid w:val="00653AF6"/>
    <w:rsid w:val="00715CB6"/>
    <w:rsid w:val="008D71FD"/>
    <w:rsid w:val="00B73A5A"/>
    <w:rsid w:val="00B935C0"/>
    <w:rsid w:val="00C12B23"/>
    <w:rsid w:val="00D90CD9"/>
    <w:rsid w:val="00E438A1"/>
    <w:rsid w:val="00E635E9"/>
    <w:rsid w:val="00F01E19"/>
    <w:rsid w:val="00F7002C"/>
    <w:rsid w:val="00F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90CD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90CD9"/>
  </w:style>
  <w:style w:type="paragraph" w:styleId="a5">
    <w:name w:val="footer"/>
    <w:basedOn w:val="a"/>
    <w:link w:val="a6"/>
    <w:uiPriority w:val="99"/>
    <w:unhideWhenUsed/>
    <w:rsid w:val="00D90CD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90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90CD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90CD9"/>
  </w:style>
  <w:style w:type="paragraph" w:styleId="a5">
    <w:name w:val="footer"/>
    <w:basedOn w:val="a"/>
    <w:link w:val="a6"/>
    <w:uiPriority w:val="99"/>
    <w:unhideWhenUsed/>
    <w:rsid w:val="00D90CD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9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user</cp:lastModifiedBy>
  <cp:revision>6</cp:revision>
  <cp:lastPrinted>2024-09-12T05:13:00Z</cp:lastPrinted>
  <dcterms:created xsi:type="dcterms:W3CDTF">2024-09-09T06:20:00Z</dcterms:created>
  <dcterms:modified xsi:type="dcterms:W3CDTF">2024-09-12T05:14:00Z</dcterms:modified>
</cp:coreProperties>
</file>